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B85524"/>
        </w:rPr>
        <w:t>Regulament de cheltuieli (model)</w:t>
      </w:r>
    </w:p>
    <w:p>
      <w:r>
        <w:rPr>
          <w:sz w:val="22"/>
        </w:rPr>
        <w:t>Modelul reglementează rambursarea cheltuielilor făcute de angajaţi pentru firmă. Adaptaţi sumele şi paşii; un regulament care cere aprobare se depune la administraţia fiscală cantonală.</w:t>
      </w:r>
    </w:p>
    <w:p>
      <w:r>
        <w:rPr>
          <w:sz w:val="22"/>
        </w:rPr>
        <w:t>1. Principiu: se rambursează cheltuielile reale, de serviciu, pe baza documentului original.</w:t>
      </w:r>
    </w:p>
    <w:p>
      <w:r>
        <w:rPr>
          <w:sz w:val="22"/>
        </w:rPr>
        <w:t>2. Deplasări: transport public clasa a 2-a; maşina proprie CHF 0.70 pe km dacă nu există maşină de serviciu.</w:t>
      </w:r>
    </w:p>
    <w:p>
      <w:r>
        <w:rPr>
          <w:sz w:val="22"/>
        </w:rPr>
        <w:t>3. Masă: mese în deplasare până la CHF 30; invitaţiile clienţilor cu numele invitaţilor pe bon.</w:t>
      </w:r>
    </w:p>
    <w:p>
      <w:r>
        <w:rPr>
          <w:sz w:val="22"/>
        </w:rPr>
        <w:t>4. Cazare: hotel de categorie medie, aprobat dinainte.</w:t>
      </w:r>
    </w:p>
    <w:p>
      <w:r>
        <w:rPr>
          <w:sz w:val="22"/>
        </w:rPr>
        <w:t>5. Decontare: lunar, cu decontul de cheltuieli (sau cu poza în aplicaţia Buchsnap), până la data de 10 a lunii următoare.</w:t>
      </w:r>
    </w:p>
    <w:p>
      <w:r>
        <w:rPr>
          <w:sz w:val="22"/>
        </w:rPr>
        <w:t>6. Certificatul de salariu: cheltuielile reale nu se declară ca salariu (vezi cifra 13).</w:t>
      </w:r>
    </w:p>
    <w:p>
      <w:r>
        <w:rPr>
          <w:sz w:val="16"/>
        </w:rPr>
        <w:br/>
        <w:t>Model de pe buchsnap.ch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