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B85524"/>
        </w:rPr>
        <w:t>Regolamento spese (modello)</w:t>
      </w:r>
    </w:p>
    <w:p>
      <w:r>
        <w:rPr>
          <w:sz w:val="22"/>
        </w:rPr>
        <w:t>Questo modello disciplina il rimborso delle spese sostenute dal personale per l'azienda. Adattate importi e procedure; un regolamento soggetto ad approvazione va presentato all'amministrazione fiscale cantonale.</w:t>
      </w:r>
    </w:p>
    <w:p>
      <w:r>
        <w:rPr>
          <w:sz w:val="22"/>
        </w:rPr>
        <w:t>1. Principio: si rimborsano spese effettive e aziendali dietro giustificativo originale.</w:t>
      </w:r>
    </w:p>
    <w:p>
      <w:r>
        <w:rPr>
          <w:sz w:val="22"/>
        </w:rPr>
        <w:t>2. Viaggi: trasporti pubblici in 2a classe; auto privata CHF 0.70 al km se non è disponibile un veicolo aziendale.</w:t>
      </w:r>
    </w:p>
    <w:p>
      <w:r>
        <w:rPr>
          <w:sz w:val="22"/>
        </w:rPr>
        <w:t>3. Vitto: pasti fuori sede fino a CHF 30; inviti di clienti con i nomi degli ospiti sul giustificativo.</w:t>
      </w:r>
    </w:p>
    <w:p>
      <w:r>
        <w:rPr>
          <w:sz w:val="22"/>
        </w:rPr>
        <w:t>4. Pernottamento: hotel di categoria media, approvato in anticipo.</w:t>
      </w:r>
    </w:p>
    <w:p>
      <w:r>
        <w:rPr>
          <w:sz w:val="22"/>
        </w:rPr>
        <w:t>5. Conteggio: mensile con la nota spese (o con foto nell'app Buchsnap), entro il 10 del mese successivo.</w:t>
      </w:r>
    </w:p>
    <w:p>
      <w:r>
        <w:rPr>
          <w:sz w:val="22"/>
        </w:rPr>
        <w:t>6. Certificato di salario: le spese effettive non sono dichiarate come salario (vedi cifra 13).</w:t>
      </w:r>
    </w:p>
    <w:p>
      <w:r>
        <w:rPr>
          <w:sz w:val="16"/>
        </w:rPr>
        <w:br/>
        <w:t>Modello di buchsnap.ch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