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B85524"/>
        </w:rPr>
        <w:t>Règlement des frais (modèle)</w:t>
      </w:r>
    </w:p>
    <w:p>
      <w:r>
        <w:rPr>
          <w:sz w:val="22"/>
        </w:rPr>
        <w:t>Ce modèle règle le remboursement des frais engagés par le personnel pour l'entreprise. Adaptez montants et procédures; un règlement soumis à approbation est présenté à l'administration fiscale cantonale.</w:t>
      </w:r>
    </w:p>
    <w:p>
      <w:r>
        <w:rPr>
          <w:sz w:val="22"/>
        </w:rPr>
        <w:t>1. Principe : les frais effectifs et professionnels sont remboursés sur pièce originale.</w:t>
      </w:r>
    </w:p>
    <w:p>
      <w:r>
        <w:rPr>
          <w:sz w:val="22"/>
        </w:rPr>
        <w:t>2. Voyages : transports publics en 2e classe; voiture privée CHF 0.70 par km si aucun véhicule d'entreprise n'est disponible.</w:t>
      </w:r>
    </w:p>
    <w:p>
      <w:r>
        <w:rPr>
          <w:sz w:val="22"/>
        </w:rPr>
        <w:t>3. Repas : repas à l'extérieur jusqu'à CHF 30; invitations de clients avec les noms des invités sur la pièce.</w:t>
      </w:r>
    </w:p>
    <w:p>
      <w:r>
        <w:rPr>
          <w:sz w:val="22"/>
        </w:rPr>
        <w:t>4. Nuitée : hôtel de catégorie moyenne, autorisé au préalable.</w:t>
      </w:r>
    </w:p>
    <w:p>
      <w:r>
        <w:rPr>
          <w:sz w:val="22"/>
        </w:rPr>
        <w:t>5. Décompte : mensuel avec la note de frais (ou par photo dans l'app Buchsnap), au plus tard le 10 du mois suivant.</w:t>
      </w:r>
    </w:p>
    <w:p>
      <w:r>
        <w:rPr>
          <w:sz w:val="22"/>
        </w:rPr>
        <w:t>6. Certificat de salaire : les frais effectifs ne sont pas déclarés comme salaire (voir chiffre 13).</w:t>
      </w:r>
    </w:p>
    <w:p>
      <w:r>
        <w:rPr>
          <w:sz w:val="16"/>
        </w:rPr>
        <w:br/>
        <w:t>Modèle de buchsnap.ch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