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Reglamento de gastos (modelo)</w:t>
      </w:r>
    </w:p>
    <w:p>
      <w:r>
        <w:rPr>
          <w:sz w:val="22"/>
        </w:rPr>
        <w:t>Este modelo regula el reembolso de gastos del personal por cuenta de la empresa. Adapta importes y procesos; un reglamento sujeto a aprobación se presenta a la administración fiscal cantonal.</w:t>
      </w:r>
    </w:p>
    <w:p>
      <w:r>
        <w:rPr>
          <w:sz w:val="22"/>
        </w:rPr>
        <w:t>1. Principio: se reembolsan gastos reales y profesionales contra recibo original.</w:t>
      </w:r>
    </w:p>
    <w:p>
      <w:r>
        <w:rPr>
          <w:sz w:val="22"/>
        </w:rPr>
        <w:t>2. Viajes: transporte público en 2.ª clase; coche particular CHF 0.70 por km si no hay vehículo de empresa.</w:t>
      </w:r>
    </w:p>
    <w:p>
      <w:r>
        <w:rPr>
          <w:sz w:val="22"/>
        </w:rPr>
        <w:t>3. Comidas: comidas fuera hasta CHF 30; invitaciones a clientes con los nombres en el recibo.</w:t>
      </w:r>
    </w:p>
    <w:p>
      <w:r>
        <w:rPr>
          <w:sz w:val="22"/>
        </w:rPr>
        <w:t>4. Alojamiento: hotel de categoría media, aprobado previamente.</w:t>
      </w:r>
    </w:p>
    <w:p>
      <w:r>
        <w:rPr>
          <w:sz w:val="22"/>
        </w:rPr>
        <w:t>5. Liquidación: mensual con la hoja de gastos (o con foto en la app Buchsnap), como tarde el día 10 del mes siguiente.</w:t>
      </w:r>
    </w:p>
    <w:p>
      <w:r>
        <w:rPr>
          <w:sz w:val="22"/>
        </w:rPr>
        <w:t>6. Certificado de salario: los gastos reales no se declaran como salario (ver cifra 13).</w:t>
      </w:r>
    </w:p>
    <w:p>
      <w:r>
        <w:rPr>
          <w:sz w:val="16"/>
        </w:rPr>
        <w:br/>
        <w:t>Plantilla de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