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B85524"/>
        </w:rPr>
        <w:t>Expense policy (template)</w:t>
      </w:r>
    </w:p>
    <w:p>
      <w:r>
        <w:rPr>
          <w:sz w:val="22"/>
        </w:rPr>
        <w:t>This template governs the reimbursement of expenses incurred by employees on behalf of the company. Adapt amounts and procedures; a policy requiring approval is submitted to the cantonal tax administration.</w:t>
      </w:r>
    </w:p>
    <w:p>
      <w:r>
        <w:rPr>
          <w:sz w:val="22"/>
        </w:rPr>
        <w:t>1. Principle: actual, business-related expenses are reimbursed against the original receipt.</w:t>
      </w:r>
    </w:p>
    <w:p>
      <w:r>
        <w:rPr>
          <w:sz w:val="22"/>
        </w:rPr>
        <w:t>2. Travel: public transport 2nd class; private car CHF 0.70 per km if no company vehicle is available.</w:t>
      </w:r>
    </w:p>
    <w:p>
      <w:r>
        <w:rPr>
          <w:sz w:val="22"/>
        </w:rPr>
        <w:t>3. Meals: meals away up to CHF 30 each; customer invitations with the guests' names on the receipt.</w:t>
      </w:r>
    </w:p>
    <w:p>
      <w:r>
        <w:rPr>
          <w:sz w:val="22"/>
        </w:rPr>
        <w:t>4. Accommodation: mid-range hotel, approved in advance.</w:t>
      </w:r>
    </w:p>
    <w:p>
      <w:r>
        <w:rPr>
          <w:sz w:val="22"/>
        </w:rPr>
        <w:t>5. Claims: monthly with the expense claim (or by photo in the Buchsnap app), by the 10th of the following month.</w:t>
      </w:r>
    </w:p>
    <w:p>
      <w:r>
        <w:rPr>
          <w:sz w:val="22"/>
        </w:rPr>
        <w:t>6. Salary certificate: actual expenses are not declared as salary (see item 13).</w:t>
      </w:r>
    </w:p>
    <w:p>
      <w:r>
        <w:rPr>
          <w:sz w:val="16"/>
        </w:rPr>
        <w:br/>
        <w:t>Template from buchsnap.ch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