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B85524"/>
        </w:rPr>
        <w:t>Spesenreglement (Muster)</w:t>
      </w:r>
    </w:p>
    <w:p>
      <w:r>
        <w:rPr>
          <w:sz w:val="22"/>
        </w:rPr>
        <w:t>Dieses Muster regelt die Rückerstattung von Auslagen, die Mitarbeitenden im Auftrag der Firma entstehen. Passen Sie Beträge und Abläufe an Ihre Firma an; ein genehmigungspflichtiges Reglement legen Sie der kantonalen Steuerverwaltung vor.</w:t>
      </w:r>
    </w:p>
    <w:p>
      <w:r>
        <w:rPr>
          <w:sz w:val="22"/>
        </w:rPr>
        <w:t>1. Grundsatz: Es werden effektive, geschäftlich begründete Auslagen gegen Originalbeleg vergütet.</w:t>
      </w:r>
    </w:p>
    <w:p>
      <w:r>
        <w:rPr>
          <w:sz w:val="22"/>
        </w:rPr>
        <w:t>2. Reisen: öffentlicher Verkehr 2. Klasse; Privatauto CHF 0.70 pro km, sofern kein Geschäftsfahrzeug verfügbar ist.</w:t>
      </w:r>
    </w:p>
    <w:p>
      <w:r>
        <w:rPr>
          <w:sz w:val="22"/>
        </w:rPr>
        <w:t>3. Verpflegung: auswärtige Mahlzeiten bis CHF 30 pro Mahlzeit; Einladungen von Kunden mit Namen der Gäste auf dem Beleg.</w:t>
      </w:r>
    </w:p>
    <w:p>
      <w:r>
        <w:rPr>
          <w:sz w:val="22"/>
        </w:rPr>
        <w:t>4. Übernachtung: Mittelklassehotel, vorgängig bewilligt.</w:t>
      </w:r>
    </w:p>
    <w:p>
      <w:r>
        <w:rPr>
          <w:sz w:val="22"/>
        </w:rPr>
        <w:t>5. Abrechnung: monatlich mit der Spesenabrechnung (oder per Foto in der Buchsnap-App), spätestens bis zum 10. des Folgemonats.</w:t>
      </w:r>
    </w:p>
    <w:p>
      <w:r>
        <w:rPr>
          <w:sz w:val="22"/>
        </w:rPr>
        <w:t>6. Lohnausweis: Effektive Spesen werden nicht als Lohn deklariert (Ziffer 13 des Lohnausweises beachten).</w:t>
      </w:r>
    </w:p>
    <w:p>
      <w:r>
        <w:rPr>
          <w:sz w:val="16"/>
        </w:rPr>
        <w:br/>
        <w:t>Vorlage von buchsnap.ch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